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70" w:type="dxa"/>
        <w:jc w:val="center"/>
        <w:tblCellSpacing w:w="0" w:type="dxa"/>
        <w:tblCellMar>
          <w:left w:w="0" w:type="dxa"/>
          <w:right w:w="0" w:type="dxa"/>
        </w:tblCellMar>
        <w:tblLook w:val="04A0" w:firstRow="1" w:lastRow="0" w:firstColumn="1" w:lastColumn="0" w:noHBand="0" w:noVBand="1"/>
      </w:tblPr>
      <w:tblGrid>
        <w:gridCol w:w="8670"/>
      </w:tblGrid>
      <w:tr w:rsidR="008723D1" w:rsidRPr="008723D1">
        <w:trPr>
          <w:tblCellSpacing w:w="0" w:type="dxa"/>
          <w:jc w:val="center"/>
        </w:trPr>
        <w:tc>
          <w:tcPr>
            <w:tcW w:w="8670" w:type="dxa"/>
            <w:tcMar>
              <w:top w:w="45" w:type="dxa"/>
              <w:left w:w="0" w:type="dxa"/>
              <w:bottom w:w="0" w:type="dxa"/>
              <w:right w:w="0" w:type="dxa"/>
            </w:tcMar>
            <w:hideMark/>
          </w:tcPr>
          <w:p w:rsidR="008723D1" w:rsidRPr="008723D1" w:rsidRDefault="008723D1" w:rsidP="008723D1">
            <w:pPr>
              <w:widowControl/>
              <w:spacing w:line="420" w:lineRule="atLeast"/>
              <w:ind w:left="720"/>
              <w:jc w:val="center"/>
              <w:rPr>
                <w:rFonts w:ascii="黑体" w:eastAsia="黑体" w:hAnsi="黑体" w:cs="宋体"/>
                <w:color w:val="298109"/>
                <w:kern w:val="0"/>
                <w:sz w:val="32"/>
                <w:szCs w:val="32"/>
              </w:rPr>
            </w:pPr>
            <w:r w:rsidRPr="008723D1">
              <w:rPr>
                <w:rFonts w:ascii="黑体" w:eastAsia="黑体" w:hAnsi="黑体" w:cs="宋体" w:hint="eastAsia"/>
                <w:color w:val="298109"/>
                <w:kern w:val="0"/>
                <w:sz w:val="32"/>
                <w:szCs w:val="32"/>
              </w:rPr>
              <w:t>Guide of Medical Care for International Students</w:t>
            </w:r>
          </w:p>
        </w:tc>
      </w:tr>
    </w:tbl>
    <w:p w:rsidR="008723D1" w:rsidRPr="008723D1" w:rsidRDefault="008723D1" w:rsidP="008723D1">
      <w:pPr>
        <w:widowControl/>
        <w:jc w:val="center"/>
        <w:rPr>
          <w:rFonts w:ascii="宋体" w:eastAsia="宋体" w:hAnsi="宋体" w:cs="宋体"/>
          <w:vanish/>
          <w:kern w:val="0"/>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885"/>
        <w:gridCol w:w="1421"/>
      </w:tblGrid>
      <w:tr w:rsidR="008723D1" w:rsidRPr="008723D1" w:rsidTr="008723D1">
        <w:trPr>
          <w:gridAfter w:val="1"/>
          <w:wAfter w:w="1744" w:type="dxa"/>
          <w:tblCellSpacing w:w="15" w:type="dxa"/>
          <w:jc w:val="center"/>
        </w:trPr>
        <w:tc>
          <w:tcPr>
            <w:tcW w:w="8670" w:type="dxa"/>
            <w:tcMar>
              <w:top w:w="45" w:type="dxa"/>
              <w:left w:w="15" w:type="dxa"/>
              <w:bottom w:w="15" w:type="dxa"/>
              <w:right w:w="15" w:type="dxa"/>
            </w:tcMar>
            <w:hideMark/>
          </w:tcPr>
          <w:p w:rsidR="008723D1" w:rsidRPr="008723D1" w:rsidRDefault="008723D1" w:rsidP="008723D1">
            <w:pPr>
              <w:widowControl/>
              <w:jc w:val="center"/>
              <w:rPr>
                <w:rFonts w:ascii="宋体" w:eastAsia="宋体" w:hAnsi="宋体" w:cs="宋体"/>
                <w:kern w:val="0"/>
                <w:sz w:val="24"/>
                <w:szCs w:val="24"/>
              </w:rPr>
            </w:pPr>
          </w:p>
        </w:tc>
      </w:tr>
      <w:tr w:rsidR="008723D1" w:rsidRPr="008723D1">
        <w:tblPrEx>
          <w:tblCellSpacing w:w="0" w:type="dxa"/>
          <w:tblBorders>
            <w:bottom w:val="dotted" w:sz="6" w:space="0" w:color="D1D1D1"/>
          </w:tblBorders>
          <w:tblCellMar>
            <w:top w:w="0" w:type="dxa"/>
            <w:left w:w="0" w:type="dxa"/>
            <w:bottom w:w="0" w:type="dxa"/>
            <w:right w:w="0" w:type="dxa"/>
          </w:tblCellMar>
        </w:tblPrEx>
        <w:trPr>
          <w:tblCellSpacing w:w="0" w:type="dxa"/>
          <w:jc w:val="center"/>
        </w:trPr>
        <w:tc>
          <w:tcPr>
            <w:tcW w:w="10095" w:type="dxa"/>
            <w:gridSpan w:val="2"/>
            <w:tcMar>
              <w:top w:w="270" w:type="dxa"/>
              <w:left w:w="0" w:type="dxa"/>
              <w:bottom w:w="105" w:type="dxa"/>
              <w:right w:w="0" w:type="dxa"/>
            </w:tcMar>
            <w:vAlign w:val="center"/>
            <w:hideMark/>
          </w:tcPr>
          <w:p w:rsidR="008723D1" w:rsidRPr="008723D1" w:rsidRDefault="008723D1" w:rsidP="008723D1">
            <w:pPr>
              <w:widowControl/>
              <w:spacing w:after="315"/>
              <w:jc w:val="center"/>
              <w:rPr>
                <w:rFonts w:ascii="宋体" w:eastAsia="宋体" w:hAnsi="宋体" w:cs="宋体"/>
                <w:color w:val="8E8E8E"/>
                <w:kern w:val="0"/>
                <w:sz w:val="18"/>
                <w:szCs w:val="18"/>
              </w:rPr>
            </w:pPr>
          </w:p>
        </w:tc>
      </w:tr>
    </w:tbl>
    <w:p w:rsidR="008723D1" w:rsidRPr="008723D1" w:rsidRDefault="008723D1" w:rsidP="008723D1">
      <w:pPr>
        <w:widowControl/>
        <w:jc w:val="center"/>
        <w:rPr>
          <w:rFonts w:ascii="宋体" w:eastAsia="宋体" w:hAnsi="宋体" w:cs="宋体"/>
          <w:vanish/>
          <w:kern w:val="0"/>
          <w:sz w:val="24"/>
          <w:szCs w:val="24"/>
        </w:rPr>
      </w:pPr>
    </w:p>
    <w:tbl>
      <w:tblPr>
        <w:tblW w:w="4200" w:type="pct"/>
        <w:jc w:val="center"/>
        <w:tblCellSpacing w:w="0" w:type="dxa"/>
        <w:tblCellMar>
          <w:left w:w="0" w:type="dxa"/>
          <w:right w:w="0" w:type="dxa"/>
        </w:tblCellMar>
        <w:tblLook w:val="04A0" w:firstRow="1" w:lastRow="0" w:firstColumn="1" w:lastColumn="0" w:noHBand="0" w:noVBand="1"/>
      </w:tblPr>
      <w:tblGrid>
        <w:gridCol w:w="6977"/>
      </w:tblGrid>
      <w:tr w:rsidR="008723D1" w:rsidRPr="008723D1">
        <w:trPr>
          <w:tblCellSpacing w:w="0" w:type="dxa"/>
          <w:jc w:val="center"/>
        </w:trPr>
        <w:tc>
          <w:tcPr>
            <w:tcW w:w="0" w:type="auto"/>
            <w:hideMark/>
          </w:tcPr>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According to the regulations of the Ministry of Education of China, every international student who studies in China should be covered with a medical insurance and join the group medical insurance scheme designated by the university/college, meeting the fundamental medical insurance standard. For students who didn't purchase insurance, should do it within specified time; for students who doesn't purchase insurance within specified time, will not be admitted by school; for students who already in school, will be expelled from school or not allowed to register.</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The group comprehensive insurance plan for the international students of UCAS is underwritten by </w:t>
            </w:r>
            <w:proofErr w:type="spellStart"/>
            <w:r w:rsidRPr="008723D1">
              <w:rPr>
                <w:rFonts w:ascii="宋体" w:eastAsia="宋体" w:hAnsi="宋体" w:cs="宋体" w:hint="eastAsia"/>
                <w:color w:val="424242"/>
                <w:kern w:val="0"/>
                <w:szCs w:val="21"/>
              </w:rPr>
              <w:t>PingAnAnuity</w:t>
            </w:r>
            <w:proofErr w:type="spellEnd"/>
            <w:r w:rsidRPr="008723D1">
              <w:rPr>
                <w:rFonts w:ascii="宋体" w:eastAsia="宋体" w:hAnsi="宋体" w:cs="宋体" w:hint="eastAsia"/>
                <w:color w:val="424242"/>
                <w:kern w:val="0"/>
                <w:szCs w:val="21"/>
              </w:rPr>
              <w:t xml:space="preserve"> Insurance Company. For the details of the insurance, please refer to the Instructions of Insurance </w:t>
            </w:r>
            <w:proofErr w:type="spellStart"/>
            <w:r w:rsidRPr="008723D1">
              <w:rPr>
                <w:rFonts w:ascii="宋体" w:eastAsia="宋体" w:hAnsi="宋体" w:cs="宋体" w:hint="eastAsia"/>
                <w:color w:val="424242"/>
                <w:kern w:val="0"/>
                <w:szCs w:val="21"/>
              </w:rPr>
              <w:t>Schmes</w:t>
            </w:r>
            <w:proofErr w:type="spellEnd"/>
            <w:r w:rsidRPr="008723D1">
              <w:rPr>
                <w:rFonts w:ascii="宋体" w:eastAsia="宋体" w:hAnsi="宋体" w:cs="宋体" w:hint="eastAsia"/>
                <w:color w:val="424242"/>
                <w:kern w:val="0"/>
                <w:szCs w:val="21"/>
              </w:rPr>
              <w:t xml:space="preserve"> and Procedure of Insurance Claim.</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 xml:space="preserve">Medical Insurance Consultation Service </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Service Line: 400-810-5119</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In the coverage of the group medical insurance scheme, when an international student needs medical care due to illness or accident, he/she or the companion should call the service line for consultation, providing the passport number to confirm the validity of insurance. The consultant will give instructions, or call a doctor on the line to </w:t>
            </w:r>
            <w:proofErr w:type="gramStart"/>
            <w:r w:rsidRPr="008723D1">
              <w:rPr>
                <w:rFonts w:ascii="宋体" w:eastAsia="宋体" w:hAnsi="宋体" w:cs="宋体" w:hint="eastAsia"/>
                <w:color w:val="424242"/>
                <w:kern w:val="0"/>
                <w:szCs w:val="21"/>
              </w:rPr>
              <w:t>advise</w:t>
            </w:r>
            <w:proofErr w:type="gramEnd"/>
            <w:r w:rsidRPr="008723D1">
              <w:rPr>
                <w:rFonts w:ascii="宋体" w:eastAsia="宋体" w:hAnsi="宋体" w:cs="宋体" w:hint="eastAsia"/>
                <w:color w:val="424242"/>
                <w:kern w:val="0"/>
                <w:szCs w:val="21"/>
              </w:rPr>
              <w:t>.</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Service Time: 24 hours</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For emergency help, please call 120 or 999 for Ambulance.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Out-patient Medical Treatment Guidance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In coverage of the group medical insurance, when an international student needs medical care in a public hospital due to accident or illness, he/she or the companion should call the service line 400-810-5119 for insurance assistance.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The service personnel will ask for the student's passport number to confirm the validity, give some instructions, or transfer to an on-duty doctor for further advice.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During the medical treatment in the hospital, the student or the companion should keep all the invoices, medical records and diagnostic documents, to make the claim.</w:t>
            </w:r>
          </w:p>
          <w:p w:rsidR="008723D1" w:rsidRPr="008723D1" w:rsidRDefault="008723D1" w:rsidP="008723D1">
            <w:pPr>
              <w:widowControl/>
              <w:spacing w:after="180"/>
              <w:rPr>
                <w:rFonts w:ascii="宋体" w:eastAsia="宋体" w:hAnsi="宋体" w:cs="宋体"/>
                <w:color w:val="424242"/>
                <w:kern w:val="0"/>
                <w:szCs w:val="21"/>
              </w:rPr>
            </w:pPr>
            <w:proofErr w:type="spellStart"/>
            <w:r w:rsidRPr="008723D1">
              <w:rPr>
                <w:rFonts w:ascii="宋体" w:eastAsia="宋体" w:hAnsi="宋体" w:cs="宋体" w:hint="eastAsia"/>
                <w:color w:val="424242"/>
                <w:kern w:val="0"/>
                <w:szCs w:val="21"/>
              </w:rPr>
              <w:lastRenderedPageBreak/>
              <w:t>Notice</w:t>
            </w:r>
            <w:proofErr w:type="gramStart"/>
            <w:r w:rsidRPr="008723D1">
              <w:rPr>
                <w:rFonts w:ascii="宋体" w:eastAsia="宋体" w:hAnsi="宋体" w:cs="宋体" w:hint="eastAsia"/>
                <w:color w:val="424242"/>
                <w:kern w:val="0"/>
                <w:szCs w:val="21"/>
              </w:rPr>
              <w:t>:</w:t>
            </w:r>
            <w:r w:rsidRPr="008723D1">
              <w:rPr>
                <w:rFonts w:ascii="宋体" w:eastAsia="宋体" w:hAnsi="宋体" w:cs="宋体" w:hint="eastAsia"/>
                <w:b/>
                <w:bCs/>
                <w:color w:val="424242"/>
                <w:kern w:val="0"/>
                <w:szCs w:val="21"/>
              </w:rPr>
              <w:t>The</w:t>
            </w:r>
            <w:proofErr w:type="spellEnd"/>
            <w:proofErr w:type="gramEnd"/>
            <w:r w:rsidRPr="008723D1">
              <w:rPr>
                <w:rFonts w:ascii="宋体" w:eastAsia="宋体" w:hAnsi="宋体" w:cs="宋体" w:hint="eastAsia"/>
                <w:b/>
                <w:bCs/>
                <w:color w:val="424242"/>
                <w:kern w:val="0"/>
                <w:szCs w:val="21"/>
              </w:rPr>
              <w:t xml:space="preserve"> school clinic is not qualified to provide medical service to international students. Only the general sections in public hospitals in the mainland of China is supported by the </w:t>
            </w:r>
            <w:proofErr w:type="spellStart"/>
            <w:r w:rsidRPr="008723D1">
              <w:rPr>
                <w:rFonts w:ascii="宋体" w:eastAsia="宋体" w:hAnsi="宋体" w:cs="宋体" w:hint="eastAsia"/>
                <w:b/>
                <w:bCs/>
                <w:color w:val="424242"/>
                <w:kern w:val="0"/>
                <w:szCs w:val="21"/>
              </w:rPr>
              <w:t>insurance.Treatment</w:t>
            </w:r>
            <w:proofErr w:type="spellEnd"/>
            <w:r w:rsidRPr="008723D1">
              <w:rPr>
                <w:rFonts w:ascii="宋体" w:eastAsia="宋体" w:hAnsi="宋体" w:cs="宋体" w:hint="eastAsia"/>
                <w:b/>
                <w:bCs/>
                <w:color w:val="424242"/>
                <w:kern w:val="0"/>
                <w:szCs w:val="21"/>
              </w:rPr>
              <w:t xml:space="preserve"> in private hospitals, VIP sections and hospitals outside of mainland of China are not covered. </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In-patient Medical Treatment Guidance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When an international student encounters illness or accident, and need to stay in the hospital for in-patient treatment, by the examination of the doctor, he/she should follow the following steps to use the insurance properly.</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The patient or his/her companions call the service line 400-810-5119, and provide the patient's passport number to confirm the validity of the insurance.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The consultant will talk with the doctor in the hospital to confirm the diagnosis and give advice to the patient or the companions.</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If the hospital is in the network of the insurance company, the patient may apply for pre-payment of the medical expense. When approved by the insurance company, the service personnel will </w:t>
            </w:r>
            <w:proofErr w:type="spellStart"/>
            <w:r w:rsidRPr="008723D1">
              <w:rPr>
                <w:rFonts w:ascii="宋体" w:eastAsia="宋体" w:hAnsi="宋体" w:cs="宋体" w:hint="eastAsia"/>
                <w:color w:val="424242"/>
                <w:kern w:val="0"/>
                <w:szCs w:val="21"/>
              </w:rPr>
              <w:t>arrage</w:t>
            </w:r>
            <w:proofErr w:type="spellEnd"/>
            <w:r w:rsidRPr="008723D1">
              <w:rPr>
                <w:rFonts w:ascii="宋体" w:eastAsia="宋体" w:hAnsi="宋体" w:cs="宋体" w:hint="eastAsia"/>
                <w:color w:val="424242"/>
                <w:kern w:val="0"/>
                <w:szCs w:val="21"/>
              </w:rPr>
              <w:t xml:space="preserve"> the pre-payment affairs. The patient makes the processes for in-patient treatment.</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If the insurance company needs some papers from the university, the patient or companions should contact the International Students Office (010-62564018).</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If the patient needs </w:t>
            </w:r>
            <w:proofErr w:type="spellStart"/>
            <w:r w:rsidRPr="008723D1">
              <w:rPr>
                <w:rFonts w:ascii="宋体" w:eastAsia="宋体" w:hAnsi="宋体" w:cs="宋体" w:hint="eastAsia"/>
                <w:color w:val="424242"/>
                <w:kern w:val="0"/>
                <w:szCs w:val="21"/>
              </w:rPr>
              <w:t>assitance</w:t>
            </w:r>
            <w:proofErr w:type="spellEnd"/>
            <w:r w:rsidRPr="008723D1">
              <w:rPr>
                <w:rFonts w:ascii="宋体" w:eastAsia="宋体" w:hAnsi="宋体" w:cs="宋体" w:hint="eastAsia"/>
                <w:color w:val="424242"/>
                <w:kern w:val="0"/>
                <w:szCs w:val="21"/>
              </w:rPr>
              <w:t>, he/she may contact the International Students Office as well.</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No matter whether the patient has used the pre-payment service, during the medical treatment in the hospital, the student or the companion should keep all the invoices, medical records and diagnostic documents, to make the claim.</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The medical expenses before the patient is </w:t>
            </w:r>
            <w:proofErr w:type="spellStart"/>
            <w:r w:rsidRPr="008723D1">
              <w:rPr>
                <w:rFonts w:ascii="宋体" w:eastAsia="宋体" w:hAnsi="宋体" w:cs="宋体" w:hint="eastAsia"/>
                <w:color w:val="424242"/>
                <w:kern w:val="0"/>
                <w:szCs w:val="21"/>
              </w:rPr>
              <w:t>accpeted</w:t>
            </w:r>
            <w:proofErr w:type="spellEnd"/>
            <w:r w:rsidRPr="008723D1">
              <w:rPr>
                <w:rFonts w:ascii="宋体" w:eastAsia="宋体" w:hAnsi="宋体" w:cs="宋体" w:hint="eastAsia"/>
                <w:color w:val="424242"/>
                <w:kern w:val="0"/>
                <w:szCs w:val="21"/>
              </w:rPr>
              <w:t xml:space="preserve"> in-patient should be treated as out-patient medical expenses.</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How to make the claim</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Please fill in the APPLICATION FORM FOR CLAIM OF PINGAN HEALTH INSURANCE and prepare the required documents accordingly. Send the soft copies to wangshuolei@ucas.ac.cn, and hard copies to the following address of the insurance company. Usually it takes 7-15 working days to process the application.</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lastRenderedPageBreak/>
              <w:t>Materials for claims of settlement sent to: 北京市西城区金融街23号平安大厦9层</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Addressee: 来华项目理赔部</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电话: 4008105119转1键 Please Dial: 4008105119 转 1</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 xml:space="preserve">Q&amp;A </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Q1</w:t>
            </w:r>
            <w:r w:rsidRPr="008723D1">
              <w:rPr>
                <w:rFonts w:ascii="宋体" w:eastAsia="宋体" w:hAnsi="宋体" w:cs="宋体" w:hint="eastAsia"/>
                <w:color w:val="424242"/>
                <w:kern w:val="0"/>
                <w:szCs w:val="21"/>
              </w:rPr>
              <w:t>: I want to see a doctor. What should I do?</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A1</w:t>
            </w:r>
            <w:r w:rsidRPr="008723D1">
              <w:rPr>
                <w:rFonts w:ascii="宋体" w:eastAsia="宋体" w:hAnsi="宋体" w:cs="宋体" w:hint="eastAsia"/>
                <w:color w:val="424242"/>
                <w:kern w:val="0"/>
                <w:szCs w:val="21"/>
              </w:rPr>
              <w:t xml:space="preserve">: When an international student needs medical care due to illness or accident, he/she or the companion should call the service </w:t>
            </w:r>
            <w:proofErr w:type="gramStart"/>
            <w:r w:rsidRPr="008723D1">
              <w:rPr>
                <w:rFonts w:ascii="宋体" w:eastAsia="宋体" w:hAnsi="宋体" w:cs="宋体" w:hint="eastAsia"/>
                <w:color w:val="424242"/>
                <w:kern w:val="0"/>
                <w:szCs w:val="21"/>
              </w:rPr>
              <w:t>line(</w:t>
            </w:r>
            <w:proofErr w:type="gramEnd"/>
            <w:r w:rsidRPr="008723D1">
              <w:rPr>
                <w:rFonts w:ascii="宋体" w:eastAsia="宋体" w:hAnsi="宋体" w:cs="宋体" w:hint="eastAsia"/>
                <w:color w:val="424242"/>
                <w:kern w:val="0"/>
                <w:szCs w:val="21"/>
              </w:rPr>
              <w:t xml:space="preserve">4008105119EXT1) for consultation. The consultant will give instructions, or call a doctor on the line to </w:t>
            </w:r>
            <w:proofErr w:type="gramStart"/>
            <w:r w:rsidRPr="008723D1">
              <w:rPr>
                <w:rFonts w:ascii="宋体" w:eastAsia="宋体" w:hAnsi="宋体" w:cs="宋体" w:hint="eastAsia"/>
                <w:color w:val="424242"/>
                <w:kern w:val="0"/>
                <w:szCs w:val="21"/>
              </w:rPr>
              <w:t>advise</w:t>
            </w:r>
            <w:proofErr w:type="gramEnd"/>
            <w:r w:rsidRPr="008723D1">
              <w:rPr>
                <w:rFonts w:ascii="宋体" w:eastAsia="宋体" w:hAnsi="宋体" w:cs="宋体" w:hint="eastAsia"/>
                <w:color w:val="424242"/>
                <w:kern w:val="0"/>
                <w:szCs w:val="21"/>
              </w:rPr>
              <w:t>. Please go to a public hospital and save all the invoices, medical records and other related paperwork for making the claim. For emergency help, please call 120 or 999 for Ambulance.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Q2</w:t>
            </w:r>
            <w:r w:rsidRPr="008723D1">
              <w:rPr>
                <w:rFonts w:ascii="宋体" w:eastAsia="宋体" w:hAnsi="宋体" w:cs="宋体" w:hint="eastAsia"/>
                <w:color w:val="424242"/>
                <w:kern w:val="0"/>
                <w:szCs w:val="21"/>
              </w:rPr>
              <w:t>: Can I go to the hospital on-campus?</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A2</w:t>
            </w:r>
            <w:r w:rsidRPr="008723D1">
              <w:rPr>
                <w:rFonts w:ascii="宋体" w:eastAsia="宋体" w:hAnsi="宋体" w:cs="宋体" w:hint="eastAsia"/>
                <w:color w:val="424242"/>
                <w:kern w:val="0"/>
                <w:szCs w:val="21"/>
              </w:rPr>
              <w:t>: No. The school clinic is not qualified to provide medical service to international students. Only the general sections in public hospitals in the mainland of China is supported by the insurance.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Q3</w:t>
            </w:r>
            <w:r w:rsidRPr="008723D1">
              <w:rPr>
                <w:rFonts w:ascii="宋体" w:eastAsia="宋体" w:hAnsi="宋体" w:cs="宋体" w:hint="eastAsia"/>
                <w:color w:val="424242"/>
                <w:kern w:val="0"/>
                <w:szCs w:val="21"/>
              </w:rPr>
              <w:t>: Which hospital should I go to?</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A3</w:t>
            </w:r>
            <w:r w:rsidRPr="008723D1">
              <w:rPr>
                <w:rFonts w:ascii="宋体" w:eastAsia="宋体" w:hAnsi="宋体" w:cs="宋体" w:hint="eastAsia"/>
                <w:color w:val="424242"/>
                <w:kern w:val="0"/>
                <w:szCs w:val="21"/>
              </w:rPr>
              <w:t>: The form below is for your reference. If you need to be hospitalized and apply for pre-payment of the medical expense, please choose a network hospital.</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1530"/>
              <w:gridCol w:w="2677"/>
              <w:gridCol w:w="2754"/>
            </w:tblGrid>
            <w:tr w:rsidR="008723D1" w:rsidRPr="008723D1">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b/>
                      <w:bCs/>
                      <w:color w:val="424242"/>
                      <w:kern w:val="0"/>
                      <w:szCs w:val="21"/>
                    </w:rPr>
                    <w:t>UCAS Campus</w:t>
                  </w:r>
                  <w:r w:rsidRPr="008723D1">
                    <w:rPr>
                      <w:rFonts w:ascii="宋体" w:eastAsia="宋体" w:hAnsi="宋体" w:cs="宋体" w:hint="eastAsia"/>
                      <w:color w:val="424242"/>
                      <w:kern w:val="0"/>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b/>
                      <w:bCs/>
                      <w:color w:val="424242"/>
                      <w:kern w:val="0"/>
                      <w:szCs w:val="21"/>
                    </w:rPr>
                    <w:t>Nearest Large Hospital</w:t>
                  </w:r>
                  <w:r w:rsidRPr="008723D1">
                    <w:rPr>
                      <w:rFonts w:ascii="宋体" w:eastAsia="宋体" w:hAnsi="宋体" w:cs="宋体" w:hint="eastAsia"/>
                      <w:color w:val="424242"/>
                      <w:kern w:val="0"/>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b/>
                      <w:bCs/>
                      <w:color w:val="424242"/>
                      <w:kern w:val="0"/>
                      <w:szCs w:val="21"/>
                    </w:rPr>
                    <w:t xml:space="preserve">Nearest Network Hospital </w:t>
                  </w:r>
                  <w:r w:rsidRPr="008723D1">
                    <w:rPr>
                      <w:rFonts w:ascii="宋体" w:eastAsia="宋体" w:hAnsi="宋体" w:cs="宋体" w:hint="eastAsia"/>
                      <w:color w:val="424242"/>
                      <w:kern w:val="0"/>
                      <w:szCs w:val="21"/>
                    </w:rPr>
                    <w:t> </w:t>
                  </w:r>
                </w:p>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(pre-payment available) </w:t>
                  </w:r>
                </w:p>
              </w:tc>
            </w:tr>
            <w:tr w:rsidR="008723D1" w:rsidRPr="008723D1">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proofErr w:type="spellStart"/>
                  <w:r w:rsidRPr="008723D1">
                    <w:rPr>
                      <w:rFonts w:ascii="宋体" w:eastAsia="宋体" w:hAnsi="宋体" w:cs="宋体" w:hint="eastAsia"/>
                      <w:color w:val="424242"/>
                      <w:kern w:val="0"/>
                      <w:szCs w:val="21"/>
                    </w:rPr>
                    <w:t>Zhongguancun</w:t>
                  </w:r>
                  <w:proofErr w:type="spellEnd"/>
                  <w:r w:rsidRPr="008723D1">
                    <w:rPr>
                      <w:rFonts w:ascii="宋体" w:eastAsia="宋体" w:hAnsi="宋体" w:cs="宋体" w:hint="eastAsia"/>
                      <w:color w:val="424242"/>
                      <w:kern w:val="0"/>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Peking University Third Hospital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Peking University Third Hospital </w:t>
                  </w:r>
                </w:p>
              </w:tc>
            </w:tr>
            <w:tr w:rsidR="008723D1" w:rsidRPr="008723D1">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proofErr w:type="spellStart"/>
                  <w:r w:rsidRPr="008723D1">
                    <w:rPr>
                      <w:rFonts w:ascii="宋体" w:eastAsia="宋体" w:hAnsi="宋体" w:cs="宋体" w:hint="eastAsia"/>
                      <w:color w:val="424242"/>
                      <w:kern w:val="0"/>
                      <w:szCs w:val="21"/>
                    </w:rPr>
                    <w:t>Yuquanlu</w:t>
                  </w:r>
                  <w:proofErr w:type="spellEnd"/>
                  <w:r w:rsidRPr="008723D1">
                    <w:rPr>
                      <w:rFonts w:ascii="宋体" w:eastAsia="宋体" w:hAnsi="宋体" w:cs="宋体" w:hint="eastAsia"/>
                      <w:color w:val="424242"/>
                      <w:kern w:val="0"/>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proofErr w:type="spellStart"/>
                  <w:r w:rsidRPr="008723D1">
                    <w:rPr>
                      <w:rFonts w:ascii="宋体" w:eastAsia="宋体" w:hAnsi="宋体" w:cs="宋体" w:hint="eastAsia"/>
                      <w:color w:val="424242"/>
                      <w:kern w:val="0"/>
                      <w:szCs w:val="21"/>
                    </w:rPr>
                    <w:t>Yuquan</w:t>
                  </w:r>
                  <w:proofErr w:type="spellEnd"/>
                  <w:r w:rsidRPr="008723D1">
                    <w:rPr>
                      <w:rFonts w:ascii="宋体" w:eastAsia="宋体" w:hAnsi="宋体" w:cs="宋体" w:hint="eastAsia"/>
                      <w:color w:val="424242"/>
                      <w:kern w:val="0"/>
                      <w:szCs w:val="21"/>
                    </w:rPr>
                    <w:t xml:space="preserve"> Hospital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Beijing </w:t>
                  </w:r>
                  <w:proofErr w:type="spellStart"/>
                  <w:r w:rsidRPr="008723D1">
                    <w:rPr>
                      <w:rFonts w:ascii="宋体" w:eastAsia="宋体" w:hAnsi="宋体" w:cs="宋体" w:hint="eastAsia"/>
                      <w:color w:val="424242"/>
                      <w:kern w:val="0"/>
                      <w:szCs w:val="21"/>
                    </w:rPr>
                    <w:t>Shijingshan</w:t>
                  </w:r>
                  <w:proofErr w:type="spellEnd"/>
                  <w:r w:rsidRPr="008723D1">
                    <w:rPr>
                      <w:rFonts w:ascii="宋体" w:eastAsia="宋体" w:hAnsi="宋体" w:cs="宋体" w:hint="eastAsia"/>
                      <w:color w:val="424242"/>
                      <w:kern w:val="0"/>
                      <w:szCs w:val="21"/>
                    </w:rPr>
                    <w:t xml:space="preserve"> Hospital </w:t>
                  </w:r>
                </w:p>
              </w:tc>
            </w:tr>
            <w:tr w:rsidR="008723D1" w:rsidRPr="008723D1">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proofErr w:type="spellStart"/>
                  <w:r w:rsidRPr="008723D1">
                    <w:rPr>
                      <w:rFonts w:ascii="宋体" w:eastAsia="宋体" w:hAnsi="宋体" w:cs="宋体" w:hint="eastAsia"/>
                      <w:color w:val="424242"/>
                      <w:kern w:val="0"/>
                      <w:szCs w:val="21"/>
                    </w:rPr>
                    <w:t>Yanqihu</w:t>
                  </w:r>
                  <w:proofErr w:type="spellEnd"/>
                  <w:r w:rsidRPr="008723D1">
                    <w:rPr>
                      <w:rFonts w:ascii="宋体" w:eastAsia="宋体" w:hAnsi="宋体" w:cs="宋体" w:hint="eastAsia"/>
                      <w:color w:val="424242"/>
                      <w:kern w:val="0"/>
                      <w:szCs w:val="21"/>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proofErr w:type="spellStart"/>
                  <w:r w:rsidRPr="008723D1">
                    <w:rPr>
                      <w:rFonts w:ascii="宋体" w:eastAsia="宋体" w:hAnsi="宋体" w:cs="宋体" w:hint="eastAsia"/>
                      <w:color w:val="424242"/>
                      <w:kern w:val="0"/>
                      <w:szCs w:val="21"/>
                    </w:rPr>
                    <w:t>Huai</w:t>
                  </w:r>
                  <w:proofErr w:type="spellEnd"/>
                  <w:r w:rsidRPr="008723D1">
                    <w:rPr>
                      <w:rFonts w:ascii="宋体" w:eastAsia="宋体" w:hAnsi="宋体" w:cs="宋体" w:hint="eastAsia"/>
                      <w:color w:val="424242"/>
                      <w:kern w:val="0"/>
                      <w:szCs w:val="21"/>
                    </w:rPr>
                    <w:t xml:space="preserve"> Rou Hospital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  </w:t>
                  </w:r>
                </w:p>
              </w:tc>
            </w:tr>
          </w:tbl>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More network hospital information, please see here (</w:t>
            </w:r>
            <w:hyperlink r:id="rId4" w:history="1">
              <w:r w:rsidRPr="008723D1">
                <w:rPr>
                  <w:rFonts w:ascii="宋体" w:eastAsia="宋体" w:hAnsi="宋体" w:cs="宋体" w:hint="eastAsia"/>
                  <w:color w:val="0000FF"/>
                  <w:kern w:val="0"/>
                  <w:szCs w:val="21"/>
                  <w:u w:val="single"/>
                </w:rPr>
                <w:t>http://www.lxbx.net/wlyy.html</w:t>
              </w:r>
            </w:hyperlink>
            <w:r w:rsidRPr="008723D1">
              <w:rPr>
                <w:rFonts w:ascii="宋体" w:eastAsia="宋体" w:hAnsi="宋体" w:cs="宋体" w:hint="eastAsia"/>
                <w:color w:val="424242"/>
                <w:kern w:val="0"/>
                <w:szCs w:val="21"/>
              </w:rPr>
              <w:t>).</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Q4: Can I get money from the insurance in advance?</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A4</w:t>
            </w:r>
            <w:r w:rsidRPr="008723D1">
              <w:rPr>
                <w:rFonts w:ascii="宋体" w:eastAsia="宋体" w:hAnsi="宋体" w:cs="宋体" w:hint="eastAsia"/>
                <w:color w:val="424242"/>
                <w:kern w:val="0"/>
                <w:szCs w:val="21"/>
              </w:rPr>
              <w:t xml:space="preserve">: </w:t>
            </w:r>
            <w:r w:rsidRPr="008723D1">
              <w:rPr>
                <w:rFonts w:ascii="宋体" w:eastAsia="宋体" w:hAnsi="宋体" w:cs="宋体" w:hint="eastAsia"/>
                <w:b/>
                <w:bCs/>
                <w:color w:val="424242"/>
                <w:kern w:val="0"/>
                <w:szCs w:val="21"/>
              </w:rPr>
              <w:t>If you are out-patient, you have to pay the medical fees by yourself first</w:t>
            </w:r>
            <w:r w:rsidRPr="008723D1">
              <w:rPr>
                <w:rFonts w:ascii="宋体" w:eastAsia="宋体" w:hAnsi="宋体" w:cs="宋体" w:hint="eastAsia"/>
                <w:color w:val="424242"/>
                <w:kern w:val="0"/>
                <w:szCs w:val="21"/>
              </w:rPr>
              <w:t xml:space="preserve">. During the medical treatment in the hospital, you or the companion should keep all the invoices, medical records and diagnostic documents, to make the claim. If you are hospitalized, you may apply for pre-payment of the medical expense in a network </w:t>
            </w:r>
            <w:r w:rsidRPr="008723D1">
              <w:rPr>
                <w:rFonts w:ascii="宋体" w:eastAsia="宋体" w:hAnsi="宋体" w:cs="宋体" w:hint="eastAsia"/>
                <w:color w:val="424242"/>
                <w:kern w:val="0"/>
                <w:szCs w:val="21"/>
              </w:rPr>
              <w:lastRenderedPageBreak/>
              <w:t>hospital. When approved by the insurance company, the service personnel will arrange the pre-payment affairs.</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b/>
                <w:bCs/>
                <w:color w:val="424242"/>
                <w:kern w:val="0"/>
                <w:szCs w:val="21"/>
              </w:rPr>
              <w:t>Q5</w:t>
            </w:r>
            <w:r w:rsidRPr="008723D1">
              <w:rPr>
                <w:rFonts w:ascii="宋体" w:eastAsia="宋体" w:hAnsi="宋体" w:cs="宋体" w:hint="eastAsia"/>
                <w:color w:val="424242"/>
                <w:kern w:val="0"/>
                <w:szCs w:val="21"/>
              </w:rPr>
              <w:t>:</w:t>
            </w:r>
            <w:r w:rsidRPr="008723D1">
              <w:rPr>
                <w:rFonts w:ascii="宋体" w:eastAsia="宋体" w:hAnsi="宋体" w:cs="宋体" w:hint="eastAsia"/>
                <w:b/>
                <w:bCs/>
                <w:color w:val="424242"/>
                <w:kern w:val="0"/>
                <w:szCs w:val="21"/>
              </w:rPr>
              <w:t xml:space="preserve"> How much of the </w:t>
            </w:r>
            <w:proofErr w:type="spellStart"/>
            <w:r w:rsidRPr="008723D1">
              <w:rPr>
                <w:rFonts w:ascii="宋体" w:eastAsia="宋体" w:hAnsi="宋体" w:cs="宋体" w:hint="eastAsia"/>
                <w:b/>
                <w:bCs/>
                <w:color w:val="424242"/>
                <w:kern w:val="0"/>
                <w:szCs w:val="21"/>
              </w:rPr>
              <w:t>medicalexpense</w:t>
            </w:r>
            <w:proofErr w:type="spellEnd"/>
            <w:r w:rsidRPr="008723D1">
              <w:rPr>
                <w:rFonts w:ascii="宋体" w:eastAsia="宋体" w:hAnsi="宋体" w:cs="宋体" w:hint="eastAsia"/>
                <w:b/>
                <w:bCs/>
                <w:color w:val="424242"/>
                <w:kern w:val="0"/>
                <w:szCs w:val="21"/>
              </w:rPr>
              <w:t xml:space="preserve"> can be reimbursed? </w:t>
            </w:r>
          </w:p>
          <w:p w:rsidR="008723D1" w:rsidRPr="008723D1" w:rsidRDefault="008723D1" w:rsidP="008723D1">
            <w:pPr>
              <w:widowControl/>
              <w:spacing w:after="180"/>
              <w:rPr>
                <w:rFonts w:ascii="宋体" w:eastAsia="宋体" w:hAnsi="宋体" w:cs="宋体"/>
                <w:color w:val="424242"/>
                <w:kern w:val="0"/>
                <w:szCs w:val="21"/>
              </w:rPr>
            </w:pPr>
            <w:r w:rsidRPr="008723D1">
              <w:rPr>
                <w:rFonts w:ascii="宋体" w:eastAsia="宋体" w:hAnsi="宋体" w:cs="宋体" w:hint="eastAsia"/>
                <w:color w:val="424242"/>
                <w:kern w:val="0"/>
                <w:szCs w:val="21"/>
              </w:rPr>
              <w:t>A5: Starting-line to pay the limitation: RMB 650 (accumulative for one time during one valid insurance period).For medical expenses exceeding the starting line of RMB650, their remaining amount after deducting RMB650 will be reimbursed at a percentage of 85%, and the accumulative payment shall not exceed the limit of RMB20000.</w:t>
            </w:r>
            <w:r w:rsidRPr="008723D1">
              <w:rPr>
                <w:rFonts w:ascii="宋体" w:eastAsia="宋体" w:hAnsi="宋体" w:cs="宋体" w:hint="eastAsia"/>
                <w:b/>
                <w:bCs/>
                <w:color w:val="424242"/>
                <w:kern w:val="0"/>
                <w:szCs w:val="21"/>
              </w:rPr>
              <w:t>Below the starting-line, there is no claim</w:t>
            </w:r>
            <w:r w:rsidRPr="008723D1">
              <w:rPr>
                <w:rFonts w:ascii="宋体" w:eastAsia="宋体" w:hAnsi="宋体" w:cs="宋体" w:hint="eastAsia"/>
                <w:color w:val="424242"/>
                <w:kern w:val="0"/>
                <w:szCs w:val="21"/>
              </w:rPr>
              <w:t>.</w:t>
            </w:r>
          </w:p>
          <w:p w:rsidR="008723D1" w:rsidRPr="008723D1" w:rsidRDefault="008723D1" w:rsidP="008723D1">
            <w:pPr>
              <w:widowControl/>
              <w:rPr>
                <w:rFonts w:ascii="宋体" w:eastAsia="宋体" w:hAnsi="宋体" w:cs="宋体"/>
                <w:color w:val="424242"/>
                <w:kern w:val="0"/>
                <w:szCs w:val="21"/>
              </w:rPr>
            </w:pPr>
            <w:r w:rsidRPr="008723D1">
              <w:rPr>
                <w:rFonts w:ascii="宋体" w:eastAsia="宋体" w:hAnsi="宋体" w:cs="宋体" w:hint="eastAsia"/>
                <w:color w:val="424242"/>
                <w:kern w:val="0"/>
                <w:szCs w:val="21"/>
              </w:rPr>
              <w:t xml:space="preserve">More information and common Q&amp;A about </w:t>
            </w:r>
            <w:proofErr w:type="spellStart"/>
            <w:r w:rsidRPr="008723D1">
              <w:rPr>
                <w:rFonts w:ascii="宋体" w:eastAsia="宋体" w:hAnsi="宋体" w:cs="宋体" w:hint="eastAsia"/>
                <w:color w:val="424242"/>
                <w:kern w:val="0"/>
                <w:szCs w:val="21"/>
              </w:rPr>
              <w:t>PingAn</w:t>
            </w:r>
            <w:proofErr w:type="spellEnd"/>
            <w:r w:rsidRPr="008723D1">
              <w:rPr>
                <w:rFonts w:ascii="宋体" w:eastAsia="宋体" w:hAnsi="宋体" w:cs="宋体" w:hint="eastAsia"/>
                <w:color w:val="424242"/>
                <w:kern w:val="0"/>
                <w:szCs w:val="21"/>
              </w:rPr>
              <w:t xml:space="preserve"> Insurance please visit </w:t>
            </w:r>
            <w:hyperlink r:id="rId5" w:history="1">
              <w:r w:rsidRPr="008723D1">
                <w:rPr>
                  <w:rFonts w:ascii="宋体" w:eastAsia="宋体" w:hAnsi="宋体" w:cs="宋体" w:hint="eastAsia"/>
                  <w:color w:val="0000FF"/>
                  <w:kern w:val="0"/>
                  <w:szCs w:val="21"/>
                  <w:u w:val="single"/>
                </w:rPr>
                <w:t>http://www.lxbx.net</w:t>
              </w:r>
            </w:hyperlink>
          </w:p>
        </w:tc>
        <w:bookmarkStart w:id="0" w:name="_GoBack"/>
        <w:bookmarkEnd w:id="0"/>
      </w:tr>
    </w:tbl>
    <w:p w:rsidR="009B6DD1" w:rsidRPr="008723D1" w:rsidRDefault="009B6DD1"/>
    <w:sectPr w:rsidR="009B6DD1" w:rsidRPr="008723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E2"/>
    <w:rsid w:val="008723D1"/>
    <w:rsid w:val="009B6DD1"/>
    <w:rsid w:val="00FA31ED"/>
    <w:rsid w:val="00FD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67DE8-4FC1-422E-A1AB-E45BB52E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775976">
      <w:bodyDiv w:val="1"/>
      <w:marLeft w:val="0"/>
      <w:marRight w:val="0"/>
      <w:marTop w:val="0"/>
      <w:marBottom w:val="0"/>
      <w:divBdr>
        <w:top w:val="none" w:sz="0" w:space="0" w:color="auto"/>
        <w:left w:val="none" w:sz="0" w:space="0" w:color="auto"/>
        <w:bottom w:val="none" w:sz="0" w:space="0" w:color="auto"/>
        <w:right w:val="none" w:sz="0" w:space="0" w:color="auto"/>
      </w:divBdr>
      <w:divsChild>
        <w:div w:id="1863930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xbx.net/" TargetMode="External"/><Relationship Id="rId4" Type="http://schemas.openxmlformats.org/officeDocument/2006/relationships/hyperlink" Target="http://www.lxbx.net/wlyy.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970</Words>
  <Characters>5529</Characters>
  <Application>Microsoft Office Word</Application>
  <DocSecurity>0</DocSecurity>
  <Lines>46</Lines>
  <Paragraphs>12</Paragraphs>
  <ScaleCrop>false</ScaleCrop>
  <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4</cp:revision>
  <dcterms:created xsi:type="dcterms:W3CDTF">2019-09-25T00:41:00Z</dcterms:created>
  <dcterms:modified xsi:type="dcterms:W3CDTF">2020-04-02T01:43:00Z</dcterms:modified>
</cp:coreProperties>
</file>